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2B927"/>
          <w:sz w:val="24"/>
        </w:rPr>
        <w:t>KEA / StEA Netzwerk Theme</w:t>
      </w:r>
    </w:p>
    <w:p>
      <w:pPr>
        <w:jc w:val="center"/>
      </w:pPr>
      <w:r>
        <w:rPr>
          <w:b/>
          <w:color w:val="0060AA"/>
          <w:sz w:val="48"/>
        </w:rPr>
        <w:t>Installations- und Einstellungshandbuch</w:t>
      </w:r>
    </w:p>
    <w:p>
      <w:pPr>
        <w:jc w:val="center"/>
      </w:pPr>
      <w:r>
        <w:rPr>
          <w:color w:val="706E6F"/>
          <w:sz w:val="24"/>
        </w:rPr>
        <w:t>Theme einbinden, Seiten prüfen und Optionen konfigurieren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134"/>
            <w:shd w:fill="0060AA"/>
          </w:tcPr>
          <w:p>
            <w:r/>
          </w:p>
        </w:tc>
        <w:tc>
          <w:tcPr>
            <w:tcW w:type="dxa" w:w="1134"/>
            <w:shd w:fill="82B927"/>
          </w:tcPr>
          <w:p>
            <w:r/>
          </w:p>
        </w:tc>
        <w:tc>
          <w:tcPr>
            <w:tcW w:type="dxa" w:w="1134"/>
            <w:shd w:fill="F38901"/>
          </w:tcPr>
          <w:p>
            <w:r/>
          </w:p>
        </w:tc>
        <w:tc>
          <w:tcPr>
            <w:tcW w:type="dxa" w:w="1134"/>
            <w:shd w:fill="E61B77"/>
          </w:tcPr>
          <w:p>
            <w:r/>
          </w:p>
        </w:tc>
        <w:tc>
          <w:tcPr>
            <w:tcW w:type="dxa" w:w="1134"/>
            <w:shd w:fill="B32474"/>
          </w:tcPr>
          <w:p>
            <w:r/>
          </w:p>
        </w:tc>
      </w:tr>
    </w:tbl>
    <w:p/>
    <w:p>
      <w:pPr>
        <w:jc w:val="center"/>
      </w:pPr>
      <w:r>
        <w:rPr>
          <w:color w:val="706E6F"/>
          <w:sz w:val="20"/>
        </w:rPr>
        <w:t>Projekt: KEA AZ-WO / wiederverwendbares Netzwerk-Theme für KEAs und StEAs</w:t>
      </w:r>
    </w:p>
    <w:p>
      <w:r>
        <w:br w:type="page"/>
      </w:r>
    </w:p>
    <w:p>
      <w:r>
        <w:rPr>
          <w:i/>
          <w:color w:val="706E6F"/>
          <w:sz w:val="18"/>
        </w:rPr>
        <w:t>Hinweis: Dieses Dokument ist als Arbeits- und Übergabedokumentation aufgebaut. Die Überschriften können in Word für ein automatisches Inhaltsverzeichnis verwendet werden.</w:t>
      </w:r>
    </w:p>
    <w:p>
      <w:pPr>
        <w:pStyle w:val="Heading1"/>
      </w:pPr>
      <w:r>
        <w:t>1. Vorbereitung</w:t>
      </w:r>
    </w:p>
    <w:p>
      <w:pPr>
        <w:pStyle w:val="ListBullet"/>
        <w:ind w:left="340"/>
      </w:pPr>
      <w:r>
        <w:t>Vollständiges Backup der bestehenden WordPress-Seite erstellen.</w:t>
      </w:r>
    </w:p>
    <w:p>
      <w:pPr>
        <w:pStyle w:val="ListBullet"/>
        <w:ind w:left="340"/>
      </w:pPr>
      <w:r>
        <w:t>Sicherstellen, dass ein Administratorzugang vorhanden ist.</w:t>
      </w:r>
    </w:p>
    <w:p>
      <w:pPr>
        <w:pStyle w:val="ListBullet"/>
        <w:ind w:left="340"/>
      </w:pPr>
      <w:r>
        <w:t>Aktuelle Theme-ZIP-Datei bereithalten.</w:t>
      </w:r>
    </w:p>
    <w:p>
      <w:pPr>
        <w:pStyle w:val="ListBullet"/>
        <w:ind w:left="340"/>
      </w:pPr>
      <w:r>
        <w:t>Cache-Plugins vorübergehend leeren oder deaktivieren, falls Darstellungsfehler auftreten.</w:t>
      </w:r>
    </w:p>
    <w:p>
      <w:pPr>
        <w:pStyle w:val="ListBullet"/>
        <w:ind w:left="340"/>
      </w:pPr>
      <w:r>
        <w:t>Optional zuerst auf einer Testinstanz installieren.</w:t>
      </w:r>
    </w:p>
    <w:p>
      <w:pPr>
        <w:pStyle w:val="Heading1"/>
      </w:pPr>
      <w:r>
        <w:t>2. Theme installieren</w:t>
      </w:r>
    </w:p>
    <w:p>
      <w:pPr>
        <w:pStyle w:val="ListNumber"/>
      </w:pPr>
      <w:r>
        <w:t>WordPress-Backend öffnen.</w:t>
      </w:r>
    </w:p>
    <w:p>
      <w:pPr>
        <w:pStyle w:val="ListNumber"/>
      </w:pPr>
      <w:r>
        <w:t>Design &gt; Themes aufrufen.</w:t>
      </w:r>
    </w:p>
    <w:p>
      <w:pPr>
        <w:pStyle w:val="ListNumber"/>
      </w:pPr>
      <w:r>
        <w:t>Theme hinzufügen &gt; Theme hochladen wählen.</w:t>
      </w:r>
    </w:p>
    <w:p>
      <w:pPr>
        <w:pStyle w:val="ListNumber"/>
      </w:pPr>
      <w:r>
        <w:t>ZIP-Datei hochladen.</w:t>
      </w:r>
    </w:p>
    <w:p>
      <w:pPr>
        <w:pStyle w:val="ListNumber"/>
      </w:pPr>
      <w:r>
        <w:t>Bei Aktualisierung die vorhandene Theme-Version ersetzen.</w:t>
      </w:r>
    </w:p>
    <w:p>
      <w:pPr>
        <w:pStyle w:val="ListNumber"/>
      </w:pPr>
      <w:r>
        <w:t>Theme aktivieren oder aktiviert lassen.</w:t>
      </w:r>
    </w:p>
    <w:p>
      <w:pPr>
        <w:pStyle w:val="ListNumber"/>
      </w:pPr>
      <w:r>
        <w:t>Anschließend Einstellungen &gt; Permalinks öffnen und Änderungen speichern.</w:t>
      </w:r>
    </w:p>
    <w:p>
      <w:pPr>
        <w:pStyle w:val="Heading1"/>
      </w:pPr>
      <w:r>
        <w:t>3. Automatisch angelegte Seiten</w:t>
      </w:r>
    </w:p>
    <w:p>
      <w:r>
        <w:t>Beim Aktivieren bzw. Aktualisieren legt das Theme fehlende zentrale Seiten nach. Diese Seiten sind anschließend normal unter Seiten bearbeitbar.</w:t>
      </w:r>
    </w:p>
    <w:p>
      <w:pPr>
        <w:pStyle w:val="ListBullet"/>
        <w:ind w:left="340"/>
      </w:pPr>
      <w:r>
        <w:t>Aktuelles</w:t>
      </w:r>
    </w:p>
    <w:p>
      <w:pPr>
        <w:pStyle w:val="ListBullet"/>
        <w:ind w:left="340"/>
      </w:pPr>
      <w:r>
        <w:t>Infos für Eltern</w:t>
      </w:r>
    </w:p>
    <w:p>
      <w:pPr>
        <w:pStyle w:val="ListBullet"/>
        <w:ind w:left="340"/>
      </w:pPr>
      <w:r>
        <w:t>FAQ</w:t>
      </w:r>
    </w:p>
    <w:p>
      <w:pPr>
        <w:pStyle w:val="ListBullet"/>
        <w:ind w:left="340"/>
      </w:pPr>
      <w:r>
        <w:t>Downloads</w:t>
      </w:r>
    </w:p>
    <w:p>
      <w:pPr>
        <w:pStyle w:val="ListBullet"/>
        <w:ind w:left="340"/>
      </w:pPr>
      <w:r>
        <w:t>Links</w:t>
      </w:r>
    </w:p>
    <w:p>
      <w:pPr>
        <w:pStyle w:val="ListBullet"/>
        <w:ind w:left="340"/>
      </w:pPr>
      <w:r>
        <w:t>Veranstaltungen</w:t>
      </w:r>
    </w:p>
    <w:p>
      <w:pPr>
        <w:pStyle w:val="ListBullet"/>
        <w:ind w:left="340"/>
      </w:pPr>
      <w:r>
        <w:t>Newsletter</w:t>
      </w:r>
    </w:p>
    <w:p>
      <w:pPr>
        <w:pStyle w:val="ListBullet"/>
        <w:ind w:left="340"/>
      </w:pPr>
      <w:r>
        <w:t>Kontakt</w:t>
      </w:r>
    </w:p>
    <w:p>
      <w:pPr>
        <w:pStyle w:val="ListBullet"/>
        <w:ind w:left="340"/>
      </w:pPr>
      <w:r>
        <w:t>Über uns</w:t>
      </w:r>
    </w:p>
    <w:p>
      <w:pPr>
        <w:pStyle w:val="ListBullet"/>
        <w:ind w:left="340"/>
      </w:pPr>
      <w:r>
        <w:t>Über uns / Vorstand</w:t>
      </w:r>
    </w:p>
    <w:p>
      <w:pPr>
        <w:pStyle w:val="ListBullet"/>
        <w:ind w:left="340"/>
      </w:pPr>
      <w:r>
        <w:t>Über uns / Gremien</w:t>
      </w:r>
    </w:p>
    <w:p>
      <w:pPr>
        <w:pStyle w:val="ListBullet"/>
        <w:ind w:left="340"/>
      </w:pPr>
      <w:r>
        <w:t>Datenschutzerklärung</w:t>
      </w:r>
    </w:p>
    <w:p>
      <w:pPr>
        <w:pStyle w:val="ListBullet"/>
        <w:ind w:left="340"/>
      </w:pPr>
      <w:r>
        <w:t>Impressum</w:t>
      </w:r>
    </w:p>
    <w:p>
      <w:pPr>
        <w:pStyle w:val="Heading1"/>
      </w:pPr>
      <w:r>
        <w:t>4. Wichtige Theme-Optionen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0060AA"/>
          </w:tcPr>
          <w:p>
            <w:r/>
            <w:r>
              <w:rPr>
                <w:b/>
                <w:color w:val="FFFFFF"/>
              </w:rPr>
              <w:t>Bereich</w:t>
            </w:r>
          </w:p>
        </w:tc>
        <w:tc>
          <w:tcPr>
            <w:tcW w:type="dxa" w:w="4986"/>
            <w:shd w:fill="0060AA"/>
          </w:tcPr>
          <w:p>
            <w:r/>
            <w:r>
              <w:rPr>
                <w:b/>
                <w:color w:val="FFFFFF"/>
              </w:rPr>
              <w:t>Einstellung</w:t>
            </w:r>
          </w:p>
        </w:tc>
      </w:tr>
      <w:tr>
        <w:tc>
          <w:tcPr>
            <w:tcW w:type="dxa" w:w="4986"/>
          </w:tcPr>
          <w:p>
            <w:r>
              <w:t>Identität</w:t>
            </w:r>
          </w:p>
        </w:tc>
        <w:tc>
          <w:tcPr>
            <w:tcW w:type="dxa" w:w="4986"/>
          </w:tcPr>
          <w:p>
            <w:r>
              <w:t>Kurzname, Gremium-Typ, Region, Leitsatz, Startseiten-Einleitung, Kontakt-E-Mail, Schriftfamilie.</w:t>
            </w:r>
          </w:p>
        </w:tc>
      </w:tr>
      <w:tr>
        <w:tc>
          <w:tcPr>
            <w:tcW w:type="dxa" w:w="4986"/>
          </w:tcPr>
          <w:p>
            <w:r>
              <w:t>Region</w:t>
            </w:r>
          </w:p>
        </w:tc>
        <w:tc>
          <w:tcPr>
            <w:tcW w:type="dxa" w:w="4986"/>
          </w:tcPr>
          <w:p>
            <w:r>
              <w:t>Liste einzelner Regionen, Verbandsgemeinden, Städte oder Kreise. Ausgabe alphabetisch sortiert.</w:t>
            </w:r>
          </w:p>
        </w:tc>
      </w:tr>
      <w:tr>
        <w:tc>
          <w:tcPr>
            <w:tcW w:type="dxa" w:w="4986"/>
          </w:tcPr>
          <w:p>
            <w:r>
              <w:t>Gremien</w:t>
            </w:r>
          </w:p>
        </w:tc>
        <w:tc>
          <w:tcPr>
            <w:tcW w:type="dxa" w:w="4986"/>
          </w:tcPr>
          <w:p>
            <w:r>
              <w:t>Vertretungen in AG 78, Jugendhilfeausschuss, Arbeitsgruppen, Netzwerken und sonstigen Gremien.</w:t>
            </w:r>
          </w:p>
        </w:tc>
      </w:tr>
      <w:tr>
        <w:tc>
          <w:tcPr>
            <w:tcW w:type="dxa" w:w="4986"/>
          </w:tcPr>
          <w:p>
            <w:r>
              <w:t>Partner</w:t>
            </w:r>
          </w:p>
        </w:tc>
        <w:tc>
          <w:tcPr>
            <w:tcW w:type="dxa" w:w="4986"/>
          </w:tcPr>
          <w:p>
            <w:r>
              <w:t>Partnerlogos mit Name, Logo-URL und Link. Ausgabe responsiv im Footer.</w:t>
            </w:r>
          </w:p>
        </w:tc>
      </w:tr>
      <w:tr>
        <w:tc>
          <w:tcPr>
            <w:tcW w:type="dxa" w:w="4986"/>
          </w:tcPr>
          <w:p>
            <w:r>
              <w:t>Header / Logo</w:t>
            </w:r>
          </w:p>
        </w:tc>
        <w:tc>
          <w:tcPr>
            <w:tcW w:type="dxa" w:w="4986"/>
          </w:tcPr>
          <w:p>
            <w:r>
              <w:t>Header-Logo ohne Zuschnitt, Menüband, Headerfarben.</w:t>
            </w:r>
          </w:p>
        </w:tc>
      </w:tr>
      <w:tr>
        <w:tc>
          <w:tcPr>
            <w:tcW w:type="dxa" w:w="4986"/>
          </w:tcPr>
          <w:p>
            <w:r>
              <w:t>Hero</w:t>
            </w:r>
          </w:p>
        </w:tc>
        <w:tc>
          <w:tcPr>
            <w:tcW w:type="dxa" w:w="4986"/>
          </w:tcPr>
          <w:p>
            <w:r>
              <w:t>Hintergrundbild, Aufhellung, Bildsichtbarkeit und Blur-Effekt.</w:t>
            </w:r>
          </w:p>
        </w:tc>
      </w:tr>
      <w:tr>
        <w:tc>
          <w:tcPr>
            <w:tcW w:type="dxa" w:w="4986"/>
          </w:tcPr>
          <w:p>
            <w:r>
              <w:t>Farben</w:t>
            </w:r>
          </w:p>
        </w:tc>
        <w:tc>
          <w:tcPr>
            <w:tcW w:type="dxa" w:w="4986"/>
          </w:tcPr>
          <w:p>
            <w:r>
              <w:t>Primärfarbe, Akzentfarbe, Header, Hintergründe, Buttons, aktiver Menüpunkt, Footer, Partnerbereich.</w:t>
            </w:r>
          </w:p>
        </w:tc>
      </w:tr>
      <w:tr>
        <w:tc>
          <w:tcPr>
            <w:tcW w:type="dxa" w:w="4986"/>
          </w:tcPr>
          <w:p>
            <w:r>
              <w:t>Formulare</w:t>
            </w:r>
          </w:p>
        </w:tc>
        <w:tc>
          <w:tcPr>
            <w:tcW w:type="dxa" w:w="4986"/>
          </w:tcPr>
          <w:p>
            <w:r>
              <w:t>Kontaktformular-Shortcode und Standardformular für Veranstaltungsanmeldungen.</w:t>
            </w:r>
          </w:p>
        </w:tc>
      </w:tr>
      <w:tr>
        <w:tc>
          <w:tcPr>
            <w:tcW w:type="dxa" w:w="4986"/>
          </w:tcPr>
          <w:p>
            <w:r>
              <w:t>Footer</w:t>
            </w:r>
          </w:p>
        </w:tc>
        <w:tc>
          <w:tcPr>
            <w:tcW w:type="dxa" w:w="4986"/>
          </w:tcPr>
          <w:p>
            <w:r>
              <w:t>Negatives Footerlogo ohne Zuschnitt, rundes Footer-Logo rechts, Copyright, Footerfarben.</w:t>
            </w:r>
          </w:p>
        </w:tc>
      </w:tr>
    </w:tbl>
    <w:p>
      <w:pPr>
        <w:pStyle w:val="Heading1"/>
      </w:pPr>
      <w:r>
        <w:t>5. Customizer verwenden</w:t>
      </w:r>
    </w:p>
    <w:p>
      <w:pPr>
        <w:pStyle w:val="ListNumber"/>
      </w:pPr>
      <w:r>
        <w:t>Design &gt; Customizer öffnen.</w:t>
      </w:r>
    </w:p>
    <w:p>
      <w:pPr>
        <w:pStyle w:val="ListNumber"/>
      </w:pPr>
      <w:r>
        <w:t>Bereich KEA/StEA Theme Optionen aufrufen.</w:t>
      </w:r>
    </w:p>
    <w:p>
      <w:pPr>
        <w:pStyle w:val="ListNumber"/>
      </w:pPr>
      <w:r>
        <w:t>Gremium-Typ wählen: Kreiselternausschuss oder Stadtelternausschuss.</w:t>
      </w:r>
    </w:p>
    <w:p>
      <w:pPr>
        <w:pStyle w:val="ListNumber"/>
      </w:pPr>
      <w:r>
        <w:t>Logo-Felder bevorzugt über die themeeigenen Medienfelder setzen, nicht über das starre WordPress-Logo mit Zuschnitt.</w:t>
      </w:r>
    </w:p>
    <w:p>
      <w:pPr>
        <w:pStyle w:val="ListNumber"/>
      </w:pPr>
      <w:r>
        <w:t>Hero-Bild und Hero-Effekt einstellen.</w:t>
      </w:r>
    </w:p>
    <w:p>
      <w:pPr>
        <w:pStyle w:val="ListNumber"/>
      </w:pPr>
      <w:r>
        <w:t>Footerlogo und rundes Footer-Logo rechts setzen.</w:t>
      </w:r>
    </w:p>
    <w:p>
      <w:pPr>
        <w:pStyle w:val="ListNumber"/>
      </w:pPr>
      <w:r>
        <w:t>Farben und Buttons prüfen.</w:t>
      </w:r>
    </w:p>
    <w:p>
      <w:pPr>
        <w:pStyle w:val="ListNumber"/>
      </w:pPr>
      <w:r>
        <w:t>Änderungen veröffentlichen.</w:t>
      </w:r>
    </w:p>
    <w:p>
      <w:pPr>
        <w:pStyle w:val="Heading1"/>
      </w:pPr>
      <w:r>
        <w:t>6. Inhalte pflegen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82B927"/>
          </w:tcPr>
          <w:p>
            <w:r/>
            <w:r>
              <w:rPr>
                <w:b/>
                <w:color w:val="FFFFFF"/>
              </w:rPr>
              <w:t>Inhalt</w:t>
            </w:r>
          </w:p>
        </w:tc>
        <w:tc>
          <w:tcPr>
            <w:tcW w:type="dxa" w:w="4986"/>
            <w:shd w:fill="82B927"/>
          </w:tcPr>
          <w:p>
            <w:r/>
            <w:r>
              <w:rPr>
                <w:b/>
                <w:color w:val="FFFFFF"/>
              </w:rPr>
              <w:t>Zweck</w:t>
            </w:r>
          </w:p>
        </w:tc>
      </w:tr>
      <w:tr>
        <w:tc>
          <w:tcPr>
            <w:tcW w:type="dxa" w:w="4986"/>
          </w:tcPr>
          <w:p>
            <w:r>
              <w:t>Beiträge</w:t>
            </w:r>
          </w:p>
        </w:tc>
        <w:tc>
          <w:tcPr>
            <w:tcW w:type="dxa" w:w="4986"/>
          </w:tcPr>
          <w:p>
            <w:r>
              <w:t>Aktuelles, Presse, Hinweise und allgemeine Veröffentlichungen.</w:t>
            </w:r>
          </w:p>
        </w:tc>
      </w:tr>
      <w:tr>
        <w:tc>
          <w:tcPr>
            <w:tcW w:type="dxa" w:w="4986"/>
          </w:tcPr>
          <w:p>
            <w:r>
              <w:t>Veranstaltungen</w:t>
            </w:r>
          </w:p>
        </w:tc>
        <w:tc>
          <w:tcPr>
            <w:tcW w:type="dxa" w:w="4986"/>
          </w:tcPr>
          <w:p>
            <w:r>
              <w:t>Termine mit Datum, Uhrzeit, Ort, Beschreibung, Anmeldelink oder Formular.</w:t>
            </w:r>
          </w:p>
        </w:tc>
      </w:tr>
      <w:tr>
        <w:tc>
          <w:tcPr>
            <w:tcW w:type="dxa" w:w="4986"/>
          </w:tcPr>
          <w:p>
            <w:r>
              <w:t>FAQ</w:t>
            </w:r>
          </w:p>
        </w:tc>
        <w:tc>
          <w:tcPr>
            <w:tcW w:type="dxa" w:w="4986"/>
          </w:tcPr>
          <w:p>
            <w:r>
              <w:t>Häufige Fragen mit Antworttexten.</w:t>
            </w:r>
          </w:p>
        </w:tc>
      </w:tr>
      <w:tr>
        <w:tc>
          <w:tcPr>
            <w:tcW w:type="dxa" w:w="4986"/>
          </w:tcPr>
          <w:p>
            <w:r>
              <w:t>Downloads</w:t>
            </w:r>
          </w:p>
        </w:tc>
        <w:tc>
          <w:tcPr>
            <w:tcW w:type="dxa" w:w="4986"/>
          </w:tcPr>
          <w:p>
            <w:r>
              <w:t>Dokumente, Broschüren, Vorlagen und externe Downloadlinks.</w:t>
            </w:r>
          </w:p>
        </w:tc>
      </w:tr>
      <w:tr>
        <w:tc>
          <w:tcPr>
            <w:tcW w:type="dxa" w:w="4986"/>
          </w:tcPr>
          <w:p>
            <w:r>
              <w:t>Links</w:t>
            </w:r>
          </w:p>
        </w:tc>
        <w:tc>
          <w:tcPr>
            <w:tcW w:type="dxa" w:w="4986"/>
          </w:tcPr>
          <w:p>
            <w:r>
              <w:t>Externe Verweise und Informationsquellen.</w:t>
            </w:r>
          </w:p>
        </w:tc>
      </w:tr>
      <w:tr>
        <w:tc>
          <w:tcPr>
            <w:tcW w:type="dxa" w:w="4986"/>
          </w:tcPr>
          <w:p>
            <w:r>
              <w:t>Team / Vorstand</w:t>
            </w:r>
          </w:p>
        </w:tc>
        <w:tc>
          <w:tcPr>
            <w:tcW w:type="dxa" w:w="4986"/>
          </w:tcPr>
          <w:p>
            <w:r>
              <w:t>Personen mit Gruppe, Funktion, Reihenfolge, Bild und optionalen Kontaktdaten.</w:t>
            </w:r>
          </w:p>
        </w:tc>
      </w:tr>
      <w:tr>
        <w:tc>
          <w:tcPr>
            <w:tcW w:type="dxa" w:w="4986"/>
          </w:tcPr>
          <w:p>
            <w:r>
              <w:t>Region</w:t>
            </w:r>
          </w:p>
        </w:tc>
        <w:tc>
          <w:tcPr>
            <w:tcW w:type="dxa" w:w="4986"/>
          </w:tcPr>
          <w:p>
            <w:r>
              <w:t>Pflege der zugehörigen Verbandsgemeinden, Städte oder Kreise.</w:t>
            </w:r>
          </w:p>
        </w:tc>
      </w:tr>
      <w:tr>
        <w:tc>
          <w:tcPr>
            <w:tcW w:type="dxa" w:w="4986"/>
          </w:tcPr>
          <w:p>
            <w:r>
              <w:t>Gremien</w:t>
            </w:r>
          </w:p>
        </w:tc>
        <w:tc>
          <w:tcPr>
            <w:tcW w:type="dxa" w:w="4986"/>
          </w:tcPr>
          <w:p>
            <w:r>
              <w:t>Pflege der Gremienvertretungen und Arbeitsgruppen.</w:t>
            </w:r>
          </w:p>
        </w:tc>
      </w:tr>
      <w:tr>
        <w:tc>
          <w:tcPr>
            <w:tcW w:type="dxa" w:w="4986"/>
          </w:tcPr>
          <w:p>
            <w:r>
              <w:t>Partner</w:t>
            </w:r>
          </w:p>
        </w:tc>
        <w:tc>
          <w:tcPr>
            <w:tcW w:type="dxa" w:w="4986"/>
          </w:tcPr>
          <w:p>
            <w:r>
              <w:t>Pflege von Logos und Links für Partner im Footer.</w:t>
            </w:r>
          </w:p>
        </w:tc>
      </w:tr>
    </w:tbl>
    <w:p>
      <w:pPr>
        <w:pStyle w:val="Heading1"/>
      </w:pPr>
      <w:r>
        <w:t>7. Veranstaltungsanmeldungen</w:t>
      </w:r>
    </w:p>
    <w:p>
      <w:r>
        <w:t>Das Theme speichert selbst keine Registrierungen. Registrierungen laufen über einen externen Anmeldelink oder über ein Formular-Plugin, bevorzugt Ninja Forms.</w:t>
      </w:r>
    </w:p>
    <w:p>
      <w:pPr>
        <w:pStyle w:val="ListBullet"/>
        <w:ind w:left="340"/>
      </w:pPr>
      <w:r>
        <w:t>Standardformular in den Theme-Optionen als Shortcode hinterlegen.</w:t>
      </w:r>
    </w:p>
    <w:p>
      <w:pPr>
        <w:pStyle w:val="ListBullet"/>
        <w:ind w:left="340"/>
      </w:pPr>
      <w:r>
        <w:t>Bei einzelnen Veranstaltungen kann ein abweichender Formular-Shortcode oder ein Anmeldelink gepflegt werden.</w:t>
      </w:r>
    </w:p>
    <w:p>
      <w:pPr>
        <w:pStyle w:val="ListBullet"/>
        <w:ind w:left="340"/>
      </w:pPr>
      <w:r>
        <w:t>E-Mail-Benachrichtigungen werden im Formular-Plugin konfiguriert.</w:t>
      </w:r>
    </w:p>
    <w:p>
      <w:pPr>
        <w:pStyle w:val="ListBullet"/>
        <w:ind w:left="340"/>
      </w:pPr>
      <w:r>
        <w:t>Einsendungen werden im Formular-Plugin verwaltet, nicht im Theme.</w:t>
      </w:r>
    </w:p>
    <w:p>
      <w:pPr>
        <w:pStyle w:val="Heading1"/>
      </w:pPr>
      <w:r>
        <w:t>8. Empfohlene Plugins</w:t>
      </w:r>
    </w:p>
    <w:p>
      <w:pPr>
        <w:pStyle w:val="ListBullet"/>
        <w:ind w:left="340"/>
      </w:pPr>
      <w:r>
        <w:t>Advanced Custom Fields für komfortable Backend-Felder.</w:t>
      </w:r>
    </w:p>
    <w:p>
      <w:pPr>
        <w:pStyle w:val="ListBullet"/>
        <w:ind w:left="340"/>
      </w:pPr>
      <w:r>
        <w:t>Ninja Forms für Kontakt- und Anmeldeformulare.</w:t>
      </w:r>
    </w:p>
    <w:p>
      <w:pPr>
        <w:pStyle w:val="ListBullet"/>
        <w:ind w:left="340"/>
      </w:pPr>
      <w:r>
        <w:t>Newsletter-Plugin, z. B. The Newsletter Plugin, MailPoet oder Brevo-Anbindung.</w:t>
      </w:r>
    </w:p>
    <w:p>
      <w:pPr>
        <w:pStyle w:val="ListBullet"/>
        <w:ind w:left="340"/>
      </w:pPr>
      <w:r>
        <w:t>SEO-Plugin.</w:t>
      </w:r>
    </w:p>
    <w:p>
      <w:pPr>
        <w:pStyle w:val="ListBullet"/>
        <w:ind w:left="340"/>
      </w:pPr>
      <w:r>
        <w:t>Cookie-/Consent-Plugin.</w:t>
      </w:r>
    </w:p>
    <w:p>
      <w:pPr>
        <w:pStyle w:val="ListBullet"/>
        <w:ind w:left="340"/>
      </w:pPr>
      <w:r>
        <w:t>Backup-Plugin.</w:t>
      </w:r>
    </w:p>
    <w:p>
      <w:pPr>
        <w:pStyle w:val="ListBullet"/>
        <w:ind w:left="340"/>
      </w:pPr>
      <w:r>
        <w:t>Sicherheitsplugin.</w:t>
      </w:r>
    </w:p>
    <w:p>
      <w:pPr>
        <w:pStyle w:val="ListBullet"/>
        <w:ind w:left="340"/>
      </w:pPr>
      <w:r>
        <w:t>Caching-/Performance-Plugin.</w:t>
      </w:r>
    </w:p>
    <w:p>
      <w:pPr>
        <w:pStyle w:val="ListBullet"/>
        <w:ind w:left="340"/>
      </w:pPr>
      <w:r>
        <w:t>Safe SVG, falls SVG-Uploads benötigt werden.</w:t>
      </w:r>
    </w:p>
    <w:p>
      <w:pPr>
        <w:pStyle w:val="ListBullet"/>
        <w:ind w:left="340"/>
      </w:pPr>
      <w:r>
        <w:t>Enable Media Replace, wenn Bilder in der Mediathek ersetzt werden sollen.</w:t>
      </w:r>
    </w:p>
    <w:p>
      <w:pPr>
        <w:pStyle w:val="ListBullet"/>
        <w:ind w:left="340"/>
      </w:pPr>
      <w:r>
        <w:t>SMTP-Plugin für zuverlässigen E-Mail-Versand.</w:t>
      </w:r>
    </w:p>
    <w:p>
      <w:pPr>
        <w:pStyle w:val="Heading1"/>
      </w:pPr>
      <w:r>
        <w:t>9. Plugins, die perspektivisch entfallen können</w:t>
      </w:r>
    </w:p>
    <w:p>
      <w:pPr>
        <w:pStyle w:val="ListBullet"/>
        <w:ind w:left="340"/>
      </w:pPr>
      <w:r>
        <w:t>The Events Calendar, wenn alle Veranstaltungen in den themeeigenen Veranstaltungstyp überführt wurden.</w:t>
      </w:r>
    </w:p>
    <w:p>
      <w:pPr>
        <w:pStyle w:val="ListBullet"/>
        <w:ind w:left="340"/>
      </w:pPr>
      <w:r>
        <w:t>Shortcodes Ultimate, wenn keine alten Shortcodes mehr genutzt werden.</w:t>
      </w:r>
    </w:p>
    <w:p>
      <w:pPr>
        <w:pStyle w:val="ListBullet"/>
        <w:ind w:left="340"/>
      </w:pPr>
      <w:r>
        <w:t>AddToAny, wenn Social Sharing nicht erforderlich ist.</w:t>
      </w:r>
    </w:p>
    <w:p>
      <w:pPr>
        <w:pStyle w:val="ListBullet"/>
        <w:ind w:left="340"/>
      </w:pPr>
      <w:r>
        <w:t>Popup Maker, wenn keine Popups mehr benötigt werden.</w:t>
      </w:r>
    </w:p>
    <w:p>
      <w:pPr>
        <w:pStyle w:val="ListBullet"/>
        <w:ind w:left="340"/>
      </w:pPr>
      <w:r>
        <w:t>Remove Footer Credit, da der Footer themeeigen gepflegt wird.</w:t>
      </w:r>
    </w:p>
    <w:p>
      <w:pPr>
        <w:pStyle w:val="ListBullet"/>
        <w:ind w:left="340"/>
      </w:pPr>
      <w:r>
        <w:t>Classic Widgets, falls keine klassischen Widgets mehr verwendet werden.</w:t>
      </w:r>
    </w:p>
    <w:p>
      <w:pPr>
        <w:pStyle w:val="Heading1"/>
      </w:pPr>
      <w:r>
        <w:t>10. Nach jedem Update prüfen</w:t>
      </w:r>
    </w:p>
    <w:p>
      <w:pPr>
        <w:pStyle w:val="ListBullet"/>
        <w:ind w:left="340"/>
      </w:pPr>
      <w:r>
        <w:t>Theme-Version sichtbar aktualisiert.</w:t>
      </w:r>
    </w:p>
    <w:p>
      <w:pPr>
        <w:pStyle w:val="ListBullet"/>
        <w:ind w:left="340"/>
      </w:pPr>
      <w:r>
        <w:t>Startseite lädt korrekt.</w:t>
      </w:r>
    </w:p>
    <w:p>
      <w:pPr>
        <w:pStyle w:val="ListBullet"/>
        <w:ind w:left="340"/>
      </w:pPr>
      <w:r>
        <w:t>Menü und Untermenüs funktionieren.</w:t>
      </w:r>
    </w:p>
    <w:p>
      <w:pPr>
        <w:pStyle w:val="ListBullet"/>
        <w:ind w:left="340"/>
      </w:pPr>
      <w:r>
        <w:t>Logo im Header und Footer korrekt skaliert.</w:t>
      </w:r>
    </w:p>
    <w:p>
      <w:pPr>
        <w:pStyle w:val="ListBullet"/>
        <w:ind w:left="340"/>
      </w:pPr>
      <w:r>
        <w:t>Hero-Bild vollflächig und ohne unerwünschte Effekte.</w:t>
      </w:r>
    </w:p>
    <w:p>
      <w:pPr>
        <w:pStyle w:val="ListBullet"/>
        <w:ind w:left="340"/>
      </w:pPr>
      <w:r>
        <w:t>Beiträge, Veranstaltungen, FAQ, Downloads und Links sichtbar.</w:t>
      </w:r>
    </w:p>
    <w:p>
      <w:pPr>
        <w:pStyle w:val="ListBullet"/>
        <w:ind w:left="340"/>
      </w:pPr>
      <w:r>
        <w:t>Kontaktformular und Newsletterformular funktionieren.</w:t>
      </w:r>
    </w:p>
    <w:p>
      <w:pPr>
        <w:pStyle w:val="ListBullet"/>
        <w:ind w:left="340"/>
      </w:pPr>
      <w:r>
        <w:t>Footer, Partnerlogos und Copyright korrekt.</w:t>
      </w:r>
    </w:p>
    <w:p>
      <w:pPr>
        <w:pStyle w:val="ListBullet"/>
        <w:ind w:left="340"/>
      </w:pPr>
      <w:r>
        <w:t>Mobile Darstellung geprüft.</w:t>
      </w:r>
    </w:p>
    <w:p>
      <w:pPr>
        <w:pStyle w:val="ListBullet"/>
        <w:ind w:left="340"/>
      </w:pPr>
      <w:r>
        <w:t>Cache geleert und Permalinks gespeichert.</w:t>
      </w:r>
    </w:p>
    <w:p>
      <w:pPr>
        <w:pStyle w:val="Heading1"/>
      </w:pPr>
      <w:r>
        <w:t>11. Rechte für Redakteure</w:t>
      </w:r>
    </w:p>
    <w:p>
      <w:r>
        <w:t>Das Theme ergänzt eine begrenzte Berechtigung für Redakteure, damit diese ausgewählte Theme-Optionen pflegen können, ohne vollständige Administratorrechte zu benötigen. Bei Problemen mit Sichtbarkeit der Optionen sollte geprüft werden, ob die Rolle die Capability edit_kea_theme_options besitzt.</w:t>
      </w:r>
    </w:p>
    <w:sectPr>
      <w:footerReference w:type="default" r:id="rId9"/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06E6F"/>
        <w:sz w:val="16"/>
      </w:rPr>
      <w:t>Installation und Einstellungen | Stand: 19.05.2026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720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60A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E61B7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82B927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60A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